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4EC" w:rsidRPr="00F644EC" w:rsidRDefault="00F644EC" w:rsidP="00F644EC">
      <w:pPr>
        <w:shd w:val="clear" w:color="auto" w:fill="FFFFFF"/>
        <w:spacing w:after="150"/>
        <w:outlineLvl w:val="2"/>
        <w:rPr>
          <w:rFonts w:ascii="Arial" w:eastAsia="Times New Roman" w:hAnsi="Arial" w:cs="Arial"/>
          <w:b/>
          <w:bCs/>
          <w:color w:val="00468C"/>
          <w:sz w:val="30"/>
          <w:szCs w:val="30"/>
        </w:rPr>
      </w:pPr>
      <w:r w:rsidRPr="00F644EC">
        <w:rPr>
          <w:rFonts w:ascii="Arial" w:eastAsia="Times New Roman" w:hAnsi="Arial" w:cs="Arial"/>
          <w:b/>
          <w:bCs/>
          <w:color w:val="00468C"/>
          <w:sz w:val="30"/>
          <w:szCs w:val="30"/>
        </w:rPr>
        <w:t>Chính sách mới có hiệu lực từ tháng 7/2024</w:t>
      </w:r>
    </w:p>
    <w:p w:rsidR="00F644EC" w:rsidRPr="00F644EC" w:rsidRDefault="00F644EC" w:rsidP="00F644EC">
      <w:pPr>
        <w:shd w:val="clear" w:color="auto" w:fill="FFFFFF"/>
        <w:spacing w:after="300"/>
        <w:jc w:val="both"/>
        <w:rPr>
          <w:rFonts w:ascii="Arial" w:eastAsia="Times New Roman" w:hAnsi="Arial" w:cs="Arial"/>
          <w:b/>
          <w:bCs/>
          <w:i/>
          <w:iCs/>
          <w:color w:val="333333"/>
          <w:sz w:val="23"/>
          <w:szCs w:val="23"/>
        </w:rPr>
      </w:pPr>
      <w:bookmarkStart w:id="0" w:name="_GoBack"/>
      <w:bookmarkEnd w:id="0"/>
      <w:r w:rsidRPr="00F644EC">
        <w:rPr>
          <w:rFonts w:ascii="Arial" w:eastAsia="Times New Roman" w:hAnsi="Arial" w:cs="Arial"/>
          <w:b/>
          <w:bCs/>
          <w:i/>
          <w:iCs/>
          <w:color w:val="333333"/>
          <w:sz w:val="23"/>
          <w:szCs w:val="23"/>
        </w:rPr>
        <w:t>Chế độ, chính sách với người tham gia lực lượng bảo vệ an ninh, trật tự ở cơ sở bị ốm đau, tai nạn, bị thương; tiêu chuẩn xét tặng danh hiệu "Nghệ sĩ nhân dân", "Nghệ sĩ ưu tú"... là những chính sách mới có hiệu lực từ tháng 7/2024.</w:t>
      </w:r>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 xml:space="preserve">Chế độ, chính sách với người tham gia lực lượng bảo vệ </w:t>
      </w:r>
      <w:proofErr w:type="gramStart"/>
      <w:r w:rsidRPr="00F644EC">
        <w:rPr>
          <w:rFonts w:ascii="NotoSerif" w:eastAsia="Times New Roman" w:hAnsi="NotoSerif" w:cs="Arial"/>
          <w:color w:val="333333"/>
          <w:sz w:val="36"/>
          <w:szCs w:val="36"/>
        </w:rPr>
        <w:t>an</w:t>
      </w:r>
      <w:proofErr w:type="gramEnd"/>
      <w:r w:rsidRPr="00F644EC">
        <w:rPr>
          <w:rFonts w:ascii="NotoSerif" w:eastAsia="Times New Roman" w:hAnsi="NotoSerif" w:cs="Arial"/>
          <w:color w:val="333333"/>
          <w:sz w:val="36"/>
          <w:szCs w:val="36"/>
        </w:rPr>
        <w:t xml:space="preserve"> ninh, trật tự ở cơ sở bị ốm đau, tai nạn, bị thương</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Nghị định </w:t>
      </w:r>
      <w:hyperlink r:id="rId5" w:tgtFrame="_blank" w:tooltip="40/2024/NĐ-CP" w:history="1">
        <w:r w:rsidRPr="00F644EC">
          <w:rPr>
            <w:rFonts w:ascii="NotoSerif" w:eastAsia="Times New Roman" w:hAnsi="NotoSerif" w:cs="Arial"/>
            <w:color w:val="0000FF"/>
            <w:sz w:val="26"/>
            <w:szCs w:val="26"/>
            <w:u w:val="single"/>
          </w:rPr>
          <w:t>40/2024/NĐ-CP</w:t>
        </w:r>
      </w:hyperlink>
      <w:r w:rsidRPr="00F644EC">
        <w:rPr>
          <w:rFonts w:ascii="NotoSerif" w:eastAsia="Times New Roman" w:hAnsi="NotoSerif" w:cs="Arial"/>
          <w:color w:val="333333"/>
          <w:sz w:val="26"/>
          <w:szCs w:val="26"/>
        </w:rPr>
        <w:t> ngày 16/4/2024 của Chính phủ quy định điều kiện, mức hỗ trợ, trình tự, thủ tục và trách nhiệm bảo đảm kinh phí để chi trả chế độ, chính sách cho người tham gia lực lượng tham gia bảo vệ an ninh, trật tự ở cơ sở chưa tham gia bảo hiểm y tế mà bị ốm đau, bị tai nạn, bị thương khi thực hiện nhiệm vụ có hiệu lực từ ngày 1/7/2024.</w:t>
      </w:r>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 xml:space="preserve">Sửa quy định về xử phạt </w:t>
      </w:r>
      <w:proofErr w:type="gramStart"/>
      <w:r w:rsidRPr="00F644EC">
        <w:rPr>
          <w:rFonts w:ascii="NotoSerif" w:eastAsia="Times New Roman" w:hAnsi="NotoSerif" w:cs="Arial"/>
          <w:color w:val="333333"/>
          <w:sz w:val="36"/>
          <w:szCs w:val="36"/>
        </w:rPr>
        <w:t>vi</w:t>
      </w:r>
      <w:proofErr w:type="gramEnd"/>
      <w:r w:rsidRPr="00F644EC">
        <w:rPr>
          <w:rFonts w:ascii="NotoSerif" w:eastAsia="Times New Roman" w:hAnsi="NotoSerif" w:cs="Arial"/>
          <w:color w:val="333333"/>
          <w:sz w:val="36"/>
          <w:szCs w:val="36"/>
        </w:rPr>
        <w:t xml:space="preserve"> phạm hành chính lĩnh vực sở hữu công nghiệp</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Chính phủ ban hành Nghị định </w:t>
      </w:r>
      <w:hyperlink r:id="rId6" w:tgtFrame="_blank" w:tooltip="46/2024/NĐ-CP" w:history="1">
        <w:r w:rsidRPr="00F644EC">
          <w:rPr>
            <w:rFonts w:ascii="NotoSerif" w:eastAsia="Times New Roman" w:hAnsi="NotoSerif" w:cs="Arial"/>
            <w:color w:val="0000FF"/>
            <w:sz w:val="26"/>
            <w:szCs w:val="26"/>
            <w:u w:val="single"/>
          </w:rPr>
          <w:t>46/2024/NĐ-CP</w:t>
        </w:r>
      </w:hyperlink>
      <w:r w:rsidRPr="00F644EC">
        <w:rPr>
          <w:rFonts w:ascii="NotoSerif" w:eastAsia="Times New Roman" w:hAnsi="NotoSerif" w:cs="Arial"/>
          <w:color w:val="333333"/>
          <w:sz w:val="26"/>
          <w:szCs w:val="26"/>
        </w:rPr>
        <w:t> ngày 4/5/2024 sửa đổi, bổ sung một số điều của Nghị định số 99/2013/NĐ-CP ngày 29/8/2013 quy định xử phạt vi phạm hành chính trong lĩnh vực sở hữu công nghiệp đã được sửa đổi, bổ sung một số điều theo Nghị định số 126/2021/NĐ-CP ngày 30/12/2021.</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Trong đó, Nghị định số 46/2024/NĐ-CP bổ sung thêm "Điều 3a. </w:t>
      </w:r>
      <w:proofErr w:type="gramStart"/>
      <w:r w:rsidRPr="00F644EC">
        <w:rPr>
          <w:rFonts w:ascii="NotoSerif" w:eastAsia="Times New Roman" w:hAnsi="NotoSerif" w:cs="Arial"/>
          <w:color w:val="333333"/>
          <w:sz w:val="26"/>
          <w:szCs w:val="26"/>
        </w:rPr>
        <w:t>Áp dụng các biện pháp ngăn chặn và bảo đảm xử lý vi phạm hành chính".</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Cụ thể, Nghị định số 46/2024/NĐ-CP bổ sung biện pháp ngăn chặn là tạm giữ tên miền thực hiện theo quy định tại khoản 1 Điều 125 Luật Xử lý vi phạm hành chính để xử lý vi phạm hành chính đối với hành vi vi phạm: Đăng ký, chiếm giữ quyền sử dụng hoặc sử dụng tên miền trùng hoặc tương tự gây nhầm lẫn với nhãn hiệu, chỉ dẫn địa lý, tên thương mại của người khác được bảo hộ nhằm chiếm giữ tên miền, lợi dụng hoặc làm thiệt hại đến uy tín, danh tiếng của nhãn hiệu, tên thương mại, chỉ dẫn địa lý tương ứng.</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Nghị định trên có hiệu lực thi hành từ ngày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Nhà nước bảo đảm nguồn lực cần thiết cho hoạt động thông tin cơ sở </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lastRenderedPageBreak/>
        <w:t>Chính phủ ban hành Nghị định số </w:t>
      </w:r>
      <w:hyperlink r:id="rId7" w:tgtFrame="_blank" w:tooltip="49/2024/NĐ-CP" w:history="1">
        <w:r w:rsidRPr="00F644EC">
          <w:rPr>
            <w:rFonts w:ascii="NotoSerif" w:eastAsia="Times New Roman" w:hAnsi="NotoSerif" w:cs="Arial"/>
            <w:color w:val="0000FF"/>
            <w:sz w:val="26"/>
            <w:szCs w:val="26"/>
            <w:u w:val="single"/>
          </w:rPr>
          <w:t>49/2024/NĐ-CP</w:t>
        </w:r>
      </w:hyperlink>
      <w:r w:rsidRPr="00F644EC">
        <w:rPr>
          <w:rFonts w:ascii="NotoSerif" w:eastAsia="Times New Roman" w:hAnsi="NotoSerif" w:cs="Arial"/>
          <w:color w:val="333333"/>
          <w:sz w:val="26"/>
          <w:szCs w:val="26"/>
        </w:rPr>
        <w:t> ngày 10/5/2024 quy định về hoạt động thông tin cơ sở, trong đó nêu rõ: Nhà nước bảo đảm nguồn lực cần thiết cho hoạt động thông tin cơ sở.</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Nghị định này có hiệu lực từ ngày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Các trường hợp phong tỏa tài khoản thanh toán </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Chính phủ ban hành Nghị định số 52/2024/NĐ-CP ngày 15/5/2024 quy định về thanh toán không dùng tiền mặt; trong đó quy định việc mở và sử dụng tài khoản thanh toán cũng như nêu rõ các trường hợp bị phong tỏa tài khoản thanh toán.</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Theo Nghị định số 52/2024/NĐ-CP, tài khoản thanh toán bị phong tỏa một phần hoặc toàn bộ số dư trên tài khoản thanh toán trong các trường hợp sau:</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1- Theo thỏa thuận trước giữa chủ tài khoản thanh toán và tổ chức cung ứng dịch vụ thanh toán hoặc </w:t>
      </w:r>
      <w:proofErr w:type="gramStart"/>
      <w:r w:rsidRPr="00F644EC">
        <w:rPr>
          <w:rFonts w:ascii="NotoSerif" w:eastAsia="Times New Roman" w:hAnsi="NotoSerif" w:cs="Arial"/>
          <w:color w:val="333333"/>
          <w:sz w:val="26"/>
          <w:szCs w:val="26"/>
        </w:rPr>
        <w:t>theo</w:t>
      </w:r>
      <w:proofErr w:type="gramEnd"/>
      <w:r w:rsidRPr="00F644EC">
        <w:rPr>
          <w:rFonts w:ascii="NotoSerif" w:eastAsia="Times New Roman" w:hAnsi="NotoSerif" w:cs="Arial"/>
          <w:color w:val="333333"/>
          <w:sz w:val="26"/>
          <w:szCs w:val="26"/>
        </w:rPr>
        <w:t xml:space="preserve"> yêu cầu của chủ tài khoản;</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2- Khi có quyết định hoặc yêu cầu bằng văn bản của cơ quan có thẩm quyền </w:t>
      </w:r>
      <w:proofErr w:type="gramStart"/>
      <w:r w:rsidRPr="00F644EC">
        <w:rPr>
          <w:rFonts w:ascii="NotoSerif" w:eastAsia="Times New Roman" w:hAnsi="NotoSerif" w:cs="Arial"/>
          <w:color w:val="333333"/>
          <w:sz w:val="26"/>
          <w:szCs w:val="26"/>
        </w:rPr>
        <w:t>theo</w:t>
      </w:r>
      <w:proofErr w:type="gramEnd"/>
      <w:r w:rsidRPr="00F644EC">
        <w:rPr>
          <w:rFonts w:ascii="NotoSerif" w:eastAsia="Times New Roman" w:hAnsi="NotoSerif" w:cs="Arial"/>
          <w:color w:val="333333"/>
          <w:sz w:val="26"/>
          <w:szCs w:val="26"/>
        </w:rPr>
        <w:t xml:space="preserve"> quy định của pháp luật;</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3- Khi tổ chức cung ứng dịch vụ thanh toán phát hiện có nhầm lẫn, sai sót khi ghi Có nhầm vào tài khoản thanh toán của khách hàng hoặc thực hiện theo yêu cầu hoàn trả lại tiền của tổ chức cung ứng dịch vụ thanh toán chuyển tiền do có nhầm lẫn, sai sót so với lệnh thanh toán của bên chuyển tiền sau khi ghi Có vào tài khoản thanh toán của khách hàng. Số tiền bị phong tỏa trên tài khoản thanh toán không được vượt quá số tiền bị nhầm lẫn, sai sót;</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4- Khi có yêu cầu phong tỏa của một trong các chủ tài khoản thanh toán </w:t>
      </w:r>
      <w:proofErr w:type="gramStart"/>
      <w:r w:rsidRPr="00F644EC">
        <w:rPr>
          <w:rFonts w:ascii="NotoSerif" w:eastAsia="Times New Roman" w:hAnsi="NotoSerif" w:cs="Arial"/>
          <w:color w:val="333333"/>
          <w:sz w:val="26"/>
          <w:szCs w:val="26"/>
        </w:rPr>
        <w:t>chung</w:t>
      </w:r>
      <w:proofErr w:type="gramEnd"/>
      <w:r w:rsidRPr="00F644EC">
        <w:rPr>
          <w:rFonts w:ascii="NotoSerif" w:eastAsia="Times New Roman" w:hAnsi="NotoSerif" w:cs="Arial"/>
          <w:color w:val="333333"/>
          <w:sz w:val="26"/>
          <w:szCs w:val="26"/>
        </w:rPr>
        <w:t xml:space="preserve"> trừ trường hợp có thỏa thuận trước bằng văn bản giữa tổ chức cung ứng dịch vụ thanh toán và các chủ tài khoản thanh toán chung. </w:t>
      </w:r>
      <w:proofErr w:type="gramStart"/>
      <w:r w:rsidRPr="00F644EC">
        <w:rPr>
          <w:rFonts w:ascii="NotoSerif" w:eastAsia="Times New Roman" w:hAnsi="NotoSerif" w:cs="Arial"/>
          <w:color w:val="333333"/>
          <w:sz w:val="26"/>
          <w:szCs w:val="26"/>
        </w:rPr>
        <w:t>Nghị định số 52/2024/NĐ-CP có hiệu lực từ ngày 1/7.</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 Yêu cầu đối với hoạt động khai thác cát, sỏi trên sông Chính phủ ban hành Nghị định số 53/2024/NĐ-CP ngày 16/5/2024 quy định chi tiết thi hành một số điều của Luật Tài </w:t>
      </w:r>
      <w:r w:rsidRPr="00F644EC">
        <w:rPr>
          <w:rFonts w:ascii="NotoSerif" w:eastAsia="Times New Roman" w:hAnsi="NotoSerif" w:cs="Arial"/>
          <w:color w:val="333333"/>
          <w:sz w:val="26"/>
          <w:szCs w:val="26"/>
        </w:rPr>
        <w:lastRenderedPageBreak/>
        <w:t xml:space="preserve">nguyên nước. </w:t>
      </w:r>
      <w:proofErr w:type="gramStart"/>
      <w:r w:rsidRPr="00F644EC">
        <w:rPr>
          <w:rFonts w:ascii="NotoSerif" w:eastAsia="Times New Roman" w:hAnsi="NotoSerif" w:cs="Arial"/>
          <w:color w:val="333333"/>
          <w:sz w:val="26"/>
          <w:szCs w:val="26"/>
        </w:rPr>
        <w:t>Nghị định quy định rõ các yêu cầu đối với hoạt động khai thác cát, sỏi trên sông.</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Trong đó, hoạt động khai thác cát, sỏi trên sông bao gồm khai thác cát sỏi lòng, bãi sông phải tuân thủ quy định pháp luật về khoáng sản, các pháp luật khác có liên quan, đáp ứng các yêu cầu chung về bảo vệ, phòng, chống sạt lở lòng, bờ, bãi sông, hồ và các yêu cầu sau:</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Ranh giới khu vực khai thác phải cách mép bờ một khoảng cách an toàn tối thiểu phù hợp với chiều rộng tự nhiên của lòng sông, đặc điểm địa hình, địa chất, mức độ ổn định của bờ sông do cơ quan thẩm định báo cáo đánh giá tác động môi trường theo thẩm quyền quyết định.</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Độ dốc đáy của tuyến khai thác tương đương độ dốc tự nhiên của đáy đoạn sông khai thác và đảm bảo không làm thay đổi đột ngột độ dốc của toàn tuyến sông; độ sâu khai thác phải phù hợp với đặc điểm địa hình, địa chất của đoạn sông, bảo đảm không được hình thành các hố xoáy hoặc gia tăng nguy cơ gây mất ổn định bờ sông do cơ quan thẩm định báo cáo đánh giá tác động môi trường theo thẩm quyền quyết định...</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Nghị định trên có hiệu lực từ ngày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Quy định mới về tiền cấp quyền khai thác tài nguyên nước </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Chính phủ đã ban hành Nghị định </w:t>
      </w:r>
      <w:hyperlink r:id="rId8" w:tgtFrame="_blank" w:tooltip="54/2024/NĐ-CP" w:history="1">
        <w:r w:rsidRPr="00F644EC">
          <w:rPr>
            <w:rFonts w:ascii="NotoSerif" w:eastAsia="Times New Roman" w:hAnsi="NotoSerif" w:cs="Arial"/>
            <w:color w:val="0000FF"/>
            <w:sz w:val="26"/>
            <w:szCs w:val="26"/>
            <w:u w:val="single"/>
          </w:rPr>
          <w:t>54/2024/NĐ-CP</w:t>
        </w:r>
      </w:hyperlink>
      <w:r w:rsidRPr="00F644EC">
        <w:rPr>
          <w:rFonts w:ascii="NotoSerif" w:eastAsia="Times New Roman" w:hAnsi="NotoSerif" w:cs="Arial"/>
          <w:color w:val="333333"/>
          <w:sz w:val="26"/>
          <w:szCs w:val="26"/>
        </w:rPr>
        <w:t> ngày 16/5/2024 quy định việc hành nghề khoan nước dưới đất, kê khai, đăng ký, cấp phép, dịch vụ tài nguyên nước và tiền cấp quyền khai thác tài nguyên nước.</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Nghị định nêu rõ, tổ chức, cá nhân khai thác tài nguyên nước thuộc trường hợp phải cấp phép khai thác nước mặt, nước dưới đất phải nộp tiền cấp quyền khai thác tài nguyên nước trong các trường hợp sau đây:</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1- Khai thác nước mặt để phát điện có mục đích thương mại.</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2- Khai thác nước mặt, nước dưới đất để phục vụ hoạt động sản xuất (bao gồm cả nước làm mát máy, thiết bị, tạo hơi, gia nhiệt), kinh doanh, dịch vụ, cấp cho nông nghiệp, nuôi trồng thuỷ sản, cấp cho sinh hoạt.</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lastRenderedPageBreak/>
        <w:t>Nghị định này có hiệu lực từ ngày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Quy định chi tiết một số điều của Luật Bảo vệ quyền lợi người tiêu dùng </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Chính phủ ban hành Nghị định số </w:t>
      </w:r>
      <w:hyperlink r:id="rId9" w:tgtFrame="_blank" w:tooltip="55/2024/NĐ-CP" w:history="1">
        <w:r w:rsidRPr="00F644EC">
          <w:rPr>
            <w:rFonts w:ascii="NotoSerif" w:eastAsia="Times New Roman" w:hAnsi="NotoSerif" w:cs="Arial"/>
            <w:color w:val="0000FF"/>
            <w:sz w:val="26"/>
            <w:szCs w:val="26"/>
            <w:u w:val="single"/>
          </w:rPr>
          <w:t>55/2024/NĐ-CP</w:t>
        </w:r>
      </w:hyperlink>
      <w:r w:rsidRPr="00F644EC">
        <w:rPr>
          <w:rFonts w:ascii="NotoSerif" w:eastAsia="Times New Roman" w:hAnsi="NotoSerif" w:cs="Arial"/>
          <w:color w:val="333333"/>
          <w:sz w:val="26"/>
          <w:szCs w:val="26"/>
        </w:rPr>
        <w:t> ngày 16/5/2024 quy định chi tiết một số điều của Luật Bảo vệ quyền lợi người tiêu dùng; trong đó dành riêng Chương III quy định về bảo vệ quyền lợi người tiêu dùng trong giao dịch với cá nhân hoạt động thương mại độc lập, thường xuyên không phải đăng ký kinh doanh.</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Nghị định này có hiệu lực từ ngày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Quy định mới về chức năng, nhiệm vụ quyền hạn của tổ chức pháp chế </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Chính phủ ban hành Nghị định số </w:t>
      </w:r>
      <w:hyperlink r:id="rId10" w:tgtFrame="_blank" w:tooltip="56/2024/NĐ-CP" w:history="1">
        <w:r w:rsidRPr="00F644EC">
          <w:rPr>
            <w:rFonts w:ascii="NotoSerif" w:eastAsia="Times New Roman" w:hAnsi="NotoSerif" w:cs="Arial"/>
            <w:color w:val="0000FF"/>
            <w:sz w:val="26"/>
            <w:szCs w:val="26"/>
            <w:u w:val="single"/>
          </w:rPr>
          <w:t>56/2024/NĐ-CP</w:t>
        </w:r>
      </w:hyperlink>
      <w:r w:rsidRPr="00F644EC">
        <w:rPr>
          <w:rFonts w:ascii="NotoSerif" w:eastAsia="Times New Roman" w:hAnsi="NotoSerif" w:cs="Arial"/>
          <w:color w:val="333333"/>
          <w:sz w:val="26"/>
          <w:szCs w:val="26"/>
        </w:rPr>
        <w:t> ngày 18/5/2024 sửa đổi, bổ sung một số điều của Nghị định số 55/2011/NĐ-CP quy định chức năng, nhiệm vụ, quyền hạn và tổ chức bộ máy của tổ chức pháp chế.</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Nghị định này quy định về vị trí, chức năng, nhiệm vụ, quyền hạn, tổ chức bộ máy của tổ chức pháp chế ở bộ, cơ quan ngang bộ, cơ quan thuộc Chính phủ, cơ quan chuyên môn thuộc Ủy ban nhân dân tỉnh, thành phố trực thuộc trung ương (gọi là cấp tỉnh), doanh nghiệp nhà nước, đơn vị sự nghiệp công lập; quản lý nhà nước về công tác pháp chế.</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Nghị định này có hiệu lực từ ngày 2/7/2024.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Quy định mới về hoạt động nạo vét trong vùng nước cảng biển, vùng nước đường thủy nội địa </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Ngày 20/5/2024, Chính phủ ban hành Nghị định </w:t>
      </w:r>
      <w:hyperlink r:id="rId11" w:tgtFrame="_blank" w:tooltip="57/2024/NĐ-CP" w:history="1">
        <w:r w:rsidRPr="00F644EC">
          <w:rPr>
            <w:rFonts w:ascii="NotoSerif" w:eastAsia="Times New Roman" w:hAnsi="NotoSerif" w:cs="Arial"/>
            <w:color w:val="0000FF"/>
            <w:sz w:val="26"/>
            <w:szCs w:val="26"/>
            <w:u w:val="single"/>
          </w:rPr>
          <w:t>57/2024/NĐ-CP</w:t>
        </w:r>
      </w:hyperlink>
      <w:r w:rsidRPr="00F644EC">
        <w:rPr>
          <w:rFonts w:ascii="NotoSerif" w:eastAsia="Times New Roman" w:hAnsi="NotoSerif" w:cs="Arial"/>
          <w:color w:val="333333"/>
          <w:sz w:val="26"/>
          <w:szCs w:val="26"/>
        </w:rPr>
        <w:t> về quản lý hoạt động nạo vét trong vùng nước cảng biển và vùng nước đường thủy nội địa.</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Theo Nghị định, không thực hiện các hoạt động nạo vét trong vùng nước cảng biển, vùng nước đường thủy nội địa gây cản trở hoạt động tránh, trú của tàu thuyền vào mùa </w:t>
      </w:r>
      <w:proofErr w:type="gramStart"/>
      <w:r w:rsidRPr="00F644EC">
        <w:rPr>
          <w:rFonts w:ascii="NotoSerif" w:eastAsia="Times New Roman" w:hAnsi="NotoSerif" w:cs="Arial"/>
          <w:color w:val="333333"/>
          <w:sz w:val="26"/>
          <w:szCs w:val="26"/>
        </w:rPr>
        <w:t>lũ</w:t>
      </w:r>
      <w:proofErr w:type="gramEnd"/>
      <w:r w:rsidRPr="00F644EC">
        <w:rPr>
          <w:rFonts w:ascii="NotoSerif" w:eastAsia="Times New Roman" w:hAnsi="NotoSerif" w:cs="Arial"/>
          <w:color w:val="333333"/>
          <w:sz w:val="26"/>
          <w:szCs w:val="26"/>
        </w:rPr>
        <w:t xml:space="preserve"> bão, trong thời gian xảy ra thiên tai...</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Nghị định này có hiệu lực từ ngày 5/7/2024.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lastRenderedPageBreak/>
        <w:t>Hỗ trợ kinh phí phát triển sinh kế, cải thiện đời sống người dân vùng đệm các khu rừng đặc dụng </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Chính phủ đã ban hành Nghị định </w:t>
      </w:r>
      <w:hyperlink r:id="rId12" w:tgtFrame="_blank" w:tooltip="58/2024/NĐ-CP " w:history="1">
        <w:r w:rsidRPr="00F644EC">
          <w:rPr>
            <w:rFonts w:ascii="NotoSerif" w:eastAsia="Times New Roman" w:hAnsi="NotoSerif" w:cs="Arial"/>
            <w:color w:val="0000FF"/>
            <w:sz w:val="26"/>
            <w:szCs w:val="26"/>
            <w:u w:val="single"/>
          </w:rPr>
          <w:t>58/2024/NĐ-CP </w:t>
        </w:r>
      </w:hyperlink>
      <w:r w:rsidRPr="00F644EC">
        <w:rPr>
          <w:rFonts w:ascii="NotoSerif" w:eastAsia="Times New Roman" w:hAnsi="NotoSerif" w:cs="Arial"/>
          <w:color w:val="333333"/>
          <w:sz w:val="26"/>
          <w:szCs w:val="26"/>
        </w:rPr>
        <w:t>ngày 24/5/2024 về một số chính sách đầu tư trong lâm nghiệp.</w:t>
      </w:r>
      <w:proofErr w:type="gramEnd"/>
      <w:r w:rsidRPr="00F644EC">
        <w:rPr>
          <w:rFonts w:ascii="NotoSerif" w:eastAsia="Times New Roman" w:hAnsi="NotoSerif" w:cs="Arial"/>
          <w:color w:val="333333"/>
          <w:sz w:val="26"/>
          <w:szCs w:val="26"/>
        </w:rPr>
        <w:t xml:space="preserve"> Trong đó nêu rõ: Cộng đồng dân cư thuộc vùng đệm của khu rừng đặc dụng được hỗ trợ bình quân là 50 triệu đồng/cộng đồng dân cư/năm.</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Nghị định này có hiệu lực từ ngày 15/7/2024.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Tiêu chuẩn xét tặng danh hiệu "Nghệ sĩ nhân dân", "Nghệ sĩ ưu tú"</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Chính phủ ban hành Nghị định số </w:t>
      </w:r>
      <w:hyperlink r:id="rId13" w:tgtFrame="_blank" w:tooltip="61/2024/NĐ-CP" w:history="1">
        <w:r w:rsidRPr="00F644EC">
          <w:rPr>
            <w:rFonts w:ascii="NotoSerif" w:eastAsia="Times New Roman" w:hAnsi="NotoSerif" w:cs="Arial"/>
            <w:color w:val="0000FF"/>
            <w:sz w:val="26"/>
            <w:szCs w:val="26"/>
            <w:u w:val="single"/>
          </w:rPr>
          <w:t>61/2024/NĐ-CP</w:t>
        </w:r>
      </w:hyperlink>
      <w:r w:rsidRPr="00F644EC">
        <w:rPr>
          <w:rFonts w:ascii="NotoSerif" w:eastAsia="Times New Roman" w:hAnsi="NotoSerif" w:cs="Arial"/>
          <w:color w:val="333333"/>
          <w:sz w:val="26"/>
          <w:szCs w:val="26"/>
        </w:rPr>
        <w:t> ngày 6/6/2024 quy định về xét tặng danh hiệu “Nghệ sĩ nhân dân”, “Nghệ sĩ ưu tú” có hiệu lực từ ngày 22/7/2024.</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Trong đó, Nghị định số 61/2024/NĐ-CP quy định rõ về tiêu chuẩn xét tặng danh hiệu "Nghệ sĩ nhân dân", "Nghệ sĩ ưu tú".</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Theo quy định, Danh hiệu "Nghệ sĩ nhân dân" được xét tặng cho cá nhân đạt các tiêu chuẩn sau:</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1- Trung thành với Tổ quốc; chấp hành tốt chủ trương của Đảng, chính sách, pháp luật của Nhà nước; điều lệ, nội quy, quy chế của cơ quan, tổ chức, địa phương.</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2- Có phẩm chất đạo đức tốt, gương mẫu trong cuộc sống, tận tụy với nghề; có tài năng nghệ thuật tiêu biểu xuất sắc cho loại hình, ngành, nghề văn hóa, nghệ thuật được tôn vinh; có uy tín nghề nghiệp; có nhiều cống hiến cho sự nghiệp cách mạng Việt Nam, được đồng nghiệp và Nhân dân ghi nhận, mến mộ.</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3- Có thời gian hoạt động trong lĩnh vực văn hóa, nghệ thuật chuyên nghiệp liên tục hoặc cộng dồn từ 20 năm trở lên hoặc 15 năm trở lên đối với loại hình nghệ thuật xiếc, múa.</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4- Đã được tặng danh hiệu "Nghệ sĩ ưu tú", sau đó tiếp tục đạt một trong các tiêu chí </w:t>
      </w:r>
      <w:proofErr w:type="gramStart"/>
      <w:r w:rsidRPr="00F644EC">
        <w:rPr>
          <w:rFonts w:ascii="NotoSerif" w:eastAsia="Times New Roman" w:hAnsi="NotoSerif" w:cs="Arial"/>
          <w:color w:val="333333"/>
          <w:sz w:val="26"/>
          <w:szCs w:val="26"/>
        </w:rPr>
        <w:t>theo</w:t>
      </w:r>
      <w:proofErr w:type="gramEnd"/>
      <w:r w:rsidRPr="00F644EC">
        <w:rPr>
          <w:rFonts w:ascii="NotoSerif" w:eastAsia="Times New Roman" w:hAnsi="NotoSerif" w:cs="Arial"/>
          <w:color w:val="333333"/>
          <w:sz w:val="26"/>
          <w:szCs w:val="26"/>
        </w:rPr>
        <w:t xml:space="preserve"> quy định...</w:t>
      </w:r>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Điều kiện cung cấp dịch vụ xác thực điện tử</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Điều kiện cung cấp dịch vụ xác thực điện tử vừa được quy định rõ tại Nghị định số </w:t>
      </w:r>
      <w:hyperlink r:id="rId14" w:tgtFrame="_blank" w:tooltip="69/2024/NĐ-CP " w:history="1">
        <w:r w:rsidRPr="00F644EC">
          <w:rPr>
            <w:rFonts w:ascii="NotoSerif" w:eastAsia="Times New Roman" w:hAnsi="NotoSerif" w:cs="Arial"/>
            <w:color w:val="0000FF"/>
            <w:sz w:val="26"/>
            <w:szCs w:val="26"/>
            <w:u w:val="single"/>
          </w:rPr>
          <w:t>69/2024/NĐ-CP </w:t>
        </w:r>
      </w:hyperlink>
      <w:r w:rsidRPr="00F644EC">
        <w:rPr>
          <w:rFonts w:ascii="NotoSerif" w:eastAsia="Times New Roman" w:hAnsi="NotoSerif" w:cs="Arial"/>
          <w:color w:val="333333"/>
          <w:sz w:val="26"/>
          <w:szCs w:val="26"/>
        </w:rPr>
        <w:t>ngày 25/6/2024 của Chính phủ.</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lastRenderedPageBreak/>
        <w:t>Nghị định quy định tổ chức, doanh nghiệp cung cấp dịch vụ xác thực điện tử phải đảm bảo điều kiện về tổ chức, doanh nghiệp; nhân sự; cơ sở vật chất, trang thiết bị kỹ thuật, quy trình quản lý cung cấp dịch vụ và phương án bảo đảm an ninh, trật tự.</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Tổ chức, doanh nghiệp cung cấp dịch vụ xác thực điện tử phải là đơn vị sự nghiệp công lập, doanh nghiệp trong Công </w:t>
      </w:r>
      <w:proofErr w:type="gramStart"/>
      <w:r w:rsidRPr="00F644EC">
        <w:rPr>
          <w:rFonts w:ascii="NotoSerif" w:eastAsia="Times New Roman" w:hAnsi="NotoSerif" w:cs="Arial"/>
          <w:color w:val="333333"/>
          <w:sz w:val="26"/>
          <w:szCs w:val="26"/>
        </w:rPr>
        <w:t>an</w:t>
      </w:r>
      <w:proofErr w:type="gramEnd"/>
      <w:r w:rsidRPr="00F644EC">
        <w:rPr>
          <w:rFonts w:ascii="NotoSerif" w:eastAsia="Times New Roman" w:hAnsi="NotoSerif" w:cs="Arial"/>
          <w:color w:val="333333"/>
          <w:sz w:val="26"/>
          <w:szCs w:val="26"/>
        </w:rPr>
        <w:t xml:space="preserve"> nhân dân; người đứng đầu tổ chức, người đại diện theo pháp luật của doanh nghiệp là công dân Việt Nam, thường trú tại Việt Nam… </w:t>
      </w:r>
      <w:proofErr w:type="gramStart"/>
      <w:r w:rsidRPr="00F644EC">
        <w:rPr>
          <w:rFonts w:ascii="NotoSerif" w:eastAsia="Times New Roman" w:hAnsi="NotoSerif" w:cs="Arial"/>
          <w:color w:val="333333"/>
          <w:sz w:val="26"/>
          <w:szCs w:val="26"/>
        </w:rPr>
        <w:t>Nghị định số 69/2024/NĐ-CP có hiệu lực từ ngày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Thủ tục khai thác thông tin trong Cơ sở dữ liệu quốc gia về dân cư </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Chính phủ ban hành Nghị định số </w:t>
      </w:r>
      <w:hyperlink r:id="rId15" w:tgtFrame="_blank" w:tooltip="70/2024/NĐ-CP" w:history="1">
        <w:r w:rsidRPr="00F644EC">
          <w:rPr>
            <w:rFonts w:ascii="NotoSerif" w:eastAsia="Times New Roman" w:hAnsi="NotoSerif" w:cs="Arial"/>
            <w:color w:val="0000FF"/>
            <w:sz w:val="26"/>
            <w:szCs w:val="26"/>
            <w:u w:val="single"/>
          </w:rPr>
          <w:t>70/2024/NĐ-CP</w:t>
        </w:r>
      </w:hyperlink>
      <w:r w:rsidRPr="00F644EC">
        <w:rPr>
          <w:rFonts w:ascii="NotoSerif" w:eastAsia="Times New Roman" w:hAnsi="NotoSerif" w:cs="Arial"/>
          <w:color w:val="333333"/>
          <w:sz w:val="26"/>
          <w:szCs w:val="26"/>
        </w:rPr>
        <w:t> ngày 25/6/2024 quy định chi tiết một số điều và biện pháp thi hành Luật Căn cước.</w:t>
      </w:r>
      <w:proofErr w:type="gramEnd"/>
      <w:r w:rsidRPr="00F644EC">
        <w:rPr>
          <w:rFonts w:ascii="NotoSerif" w:eastAsia="Times New Roman" w:hAnsi="NotoSerif" w:cs="Arial"/>
          <w:color w:val="333333"/>
          <w:sz w:val="26"/>
          <w:szCs w:val="26"/>
        </w:rPr>
        <w:t xml:space="preserve"> </w:t>
      </w:r>
      <w:proofErr w:type="gramStart"/>
      <w:r w:rsidRPr="00F644EC">
        <w:rPr>
          <w:rFonts w:ascii="NotoSerif" w:eastAsia="Times New Roman" w:hAnsi="NotoSerif" w:cs="Arial"/>
          <w:color w:val="333333"/>
          <w:sz w:val="26"/>
          <w:szCs w:val="26"/>
        </w:rPr>
        <w:t>Nghị định này có hiệu lực từ ngày 1/7/2024.</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Nghị định quy định rõ việc khai thác thông tin của công dân trong Cơ sở dữ liệu quốc gia về dân cư.</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Theo quy định cơ quan quản lý căn cước của Bộ Công </w:t>
      </w:r>
      <w:proofErr w:type="gramStart"/>
      <w:r w:rsidRPr="00F644EC">
        <w:rPr>
          <w:rFonts w:ascii="NotoSerif" w:eastAsia="Times New Roman" w:hAnsi="NotoSerif" w:cs="Arial"/>
          <w:color w:val="333333"/>
          <w:sz w:val="26"/>
          <w:szCs w:val="26"/>
        </w:rPr>
        <w:t>an</w:t>
      </w:r>
      <w:proofErr w:type="gramEnd"/>
      <w:r w:rsidRPr="00F644EC">
        <w:rPr>
          <w:rFonts w:ascii="NotoSerif" w:eastAsia="Times New Roman" w:hAnsi="NotoSerif" w:cs="Arial"/>
          <w:color w:val="333333"/>
          <w:sz w:val="26"/>
          <w:szCs w:val="26"/>
        </w:rPr>
        <w:t xml:space="preserve"> cấp tài khoản cho cơ quan, tổ chức để truy cập, khai thác thông tin trong Cơ sở dữ liệu quốc gia về dân cư.</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Cơ quan, tổ chức được cơ quan quản lý căn cước của Bộ Công an cấp tài khoản có trách nhiệm tạo lập, quản lý tài khoản riêng trên hệ thống thông tin của mình đã kết nối với Cơ sở dữ liệu quốc gia về dân cư và phân quyền sử dụng tài khoản đã tạo lập cho cá nhân thuộc quyền quản lý theo chức năng, nhiệm vụ được giao.</w:t>
      </w:r>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Giảm thuế giá trị gia tăng xuống 8% từ 1/7-31/12/2024</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Chính phủ ban hành Nghị định số 72/2024/NĐ-CP ngày 30/6/2024 quy định chính sách giảm thuế giá trị gia tăng </w:t>
      </w:r>
      <w:proofErr w:type="gramStart"/>
      <w:r w:rsidRPr="00F644EC">
        <w:rPr>
          <w:rFonts w:ascii="NotoSerif" w:eastAsia="Times New Roman" w:hAnsi="NotoSerif" w:cs="Arial"/>
          <w:color w:val="333333"/>
          <w:sz w:val="26"/>
          <w:szCs w:val="26"/>
        </w:rPr>
        <w:t>theo</w:t>
      </w:r>
      <w:proofErr w:type="gramEnd"/>
      <w:r w:rsidRPr="00F644EC">
        <w:rPr>
          <w:rFonts w:ascii="NotoSerif" w:eastAsia="Times New Roman" w:hAnsi="NotoSerif" w:cs="Arial"/>
          <w:color w:val="333333"/>
          <w:sz w:val="26"/>
          <w:szCs w:val="26"/>
        </w:rPr>
        <w:t xml:space="preserve"> Nghị quyết số 142/2024/QH15 ngày 29/6/2024 của Quốc hội.</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Theo Nghị định 72/2024/NĐ-CP, cơ sở kinh doanh tính thuế giá trị gia tăng </w:t>
      </w:r>
      <w:proofErr w:type="gramStart"/>
      <w:r w:rsidRPr="00F644EC">
        <w:rPr>
          <w:rFonts w:ascii="NotoSerif" w:eastAsia="Times New Roman" w:hAnsi="NotoSerif" w:cs="Arial"/>
          <w:color w:val="333333"/>
          <w:sz w:val="26"/>
          <w:szCs w:val="26"/>
        </w:rPr>
        <w:t>theo</w:t>
      </w:r>
      <w:proofErr w:type="gramEnd"/>
      <w:r w:rsidRPr="00F644EC">
        <w:rPr>
          <w:rFonts w:ascii="NotoSerif" w:eastAsia="Times New Roman" w:hAnsi="NotoSerif" w:cs="Arial"/>
          <w:color w:val="333333"/>
          <w:sz w:val="26"/>
          <w:szCs w:val="26"/>
        </w:rPr>
        <w:t xml:space="preserve"> phương pháp khấu trừ được áp dụng mức thuế suất thuế giá trị gia tăng 8% đối với hàng hóa, dịch vụ được giảm thuế giá trị gia tăng.</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lastRenderedPageBreak/>
        <w:t>Cơ sở kinh doanh (bao gồm cả hộ kinh doanh, cá nhân kinh doanh) tính thuế giá trị gia tăng theo phương pháp tỷ lệ % trên doanh thu được giảm 20% mức tỷ lệ % để tính thuế giá trị gia tăng khi thực hiện xuất hóa đơn đối với hàng hóa, dịch vụ được giảm thuế giá trị gia tăng.</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Nghị định 72/2024/NĐ-CP có hiệu lực thi hành từ ngày 01/7/2024 đến hết ngày 31/12/2024.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Sửa quy định về việc mua, bán và xử lý nợ xấu của Công ty Quản lý tài sản</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Ngân hàng Nhà nước Việt Nam đã ban hành Thông tư 03/2024/TT-NHNN ngày 16/5/2024 sửa đổi, bổ sung một số điều của Thông tư 19/2013/TT-NHNN ngày 6/9/2023 quy định về việc mua, bán và xử lý nợ xấu của Công ty Quản lý tài sản của các tổ chức tín dụng Việt Nam.</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Thông tư 03/2024/TT-NHNN sửa đổi, bổ sung Điều 23 về điều kiện các khoản nợ xấu được Công ty Quản lý tài sản mua theo giá trị thị trường:</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1- Các điều kiện quy định tại khoản 1 Điều 16 Thông tư này.</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2- Được Công ty Quản lý tài sản đánh giá có khả năng </w:t>
      </w:r>
      <w:proofErr w:type="gramStart"/>
      <w:r w:rsidRPr="00F644EC">
        <w:rPr>
          <w:rFonts w:ascii="NotoSerif" w:eastAsia="Times New Roman" w:hAnsi="NotoSerif" w:cs="Arial"/>
          <w:color w:val="333333"/>
          <w:sz w:val="26"/>
          <w:szCs w:val="26"/>
        </w:rPr>
        <w:t>thu</w:t>
      </w:r>
      <w:proofErr w:type="gramEnd"/>
      <w:r w:rsidRPr="00F644EC">
        <w:rPr>
          <w:rFonts w:ascii="NotoSerif" w:eastAsia="Times New Roman" w:hAnsi="NotoSerif" w:cs="Arial"/>
          <w:color w:val="333333"/>
          <w:sz w:val="26"/>
          <w:szCs w:val="26"/>
        </w:rPr>
        <w:t xml:space="preserve"> hồi đầy đủ số tiền mua nợ.</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3- Tài sản bảo đảm của khoản nợ xấu có khả năng phát mại hoặc khách hàng vay có triển vọng phục hồi khả năng trả nợ.</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4- Trường hợp chuyển khoản nợ xấu đã mua bằng trái phiếu đặc biệt thành khoản nợ xấu mua </w:t>
      </w:r>
      <w:proofErr w:type="gramStart"/>
      <w:r w:rsidRPr="00F644EC">
        <w:rPr>
          <w:rFonts w:ascii="NotoSerif" w:eastAsia="Times New Roman" w:hAnsi="NotoSerif" w:cs="Arial"/>
          <w:color w:val="333333"/>
          <w:sz w:val="26"/>
          <w:szCs w:val="26"/>
        </w:rPr>
        <w:t>theo</w:t>
      </w:r>
      <w:proofErr w:type="gramEnd"/>
      <w:r w:rsidRPr="00F644EC">
        <w:rPr>
          <w:rFonts w:ascii="NotoSerif" w:eastAsia="Times New Roman" w:hAnsi="NotoSerif" w:cs="Arial"/>
          <w:color w:val="333333"/>
          <w:sz w:val="26"/>
          <w:szCs w:val="26"/>
        </w:rPr>
        <w:t xml:space="preserve"> giá trị thị trường thì trái phiếu đặc biệt tương ứng với khoản nợ xấu đó còn phải đáp ứng điều kiện chưa đến hạn thanh toán và đang không bị phong tỏa tại Ngân hàng Nhà nước.</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Thông tư này có hiệu lực kể từ ngày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Mỗi điểm đại lý thanh toán được giao dịch không quá 200 triệu đồng/ngày</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Ngân hàng Nhà nước Việt Nam đã ban hành Thông tư 07/2024/TT-NHNN ngày 21/6/2024 quy định về hoạt động đại lý thanh toán.</w:t>
      </w:r>
      <w:proofErr w:type="gramEnd"/>
      <w:r w:rsidRPr="00F644EC">
        <w:rPr>
          <w:rFonts w:ascii="NotoSerif" w:eastAsia="Times New Roman" w:hAnsi="NotoSerif" w:cs="Arial"/>
          <w:color w:val="333333"/>
          <w:sz w:val="26"/>
          <w:szCs w:val="26"/>
        </w:rPr>
        <w:t xml:space="preserve"> </w:t>
      </w:r>
      <w:proofErr w:type="gramStart"/>
      <w:r w:rsidRPr="00F644EC">
        <w:rPr>
          <w:rFonts w:ascii="NotoSerif" w:eastAsia="Times New Roman" w:hAnsi="NotoSerif" w:cs="Arial"/>
          <w:color w:val="333333"/>
          <w:sz w:val="26"/>
          <w:szCs w:val="26"/>
        </w:rPr>
        <w:t xml:space="preserve">Trong đó quy định mỗi một điểm </w:t>
      </w:r>
      <w:r w:rsidRPr="00F644EC">
        <w:rPr>
          <w:rFonts w:ascii="NotoSerif" w:eastAsia="Times New Roman" w:hAnsi="NotoSerif" w:cs="Arial"/>
          <w:color w:val="333333"/>
          <w:sz w:val="26"/>
          <w:szCs w:val="26"/>
        </w:rPr>
        <w:lastRenderedPageBreak/>
        <w:t>đại lý thanh toán được giao dịch không quá 200 triệu đồng/ngày và tối đa 05 tỷ đồng/tháng.</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Thông tư có hiệu lực từ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Quy định mới về kinh phí bảo đảm cho công tác tổng hợp, dự báo giá thị trường</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Bộ Tài chính ban hành Thông tư số </w:t>
      </w:r>
      <w:hyperlink r:id="rId16" w:tgtFrame="_blank" w:tooltip="29/2024/TT-BTC" w:history="1">
        <w:r w:rsidRPr="00F644EC">
          <w:rPr>
            <w:rFonts w:ascii="NotoSerif" w:eastAsia="Times New Roman" w:hAnsi="NotoSerif" w:cs="Arial"/>
            <w:color w:val="0000FF"/>
            <w:sz w:val="26"/>
            <w:szCs w:val="26"/>
            <w:u w:val="single"/>
          </w:rPr>
          <w:t>29/2024/TT-BTC</w:t>
        </w:r>
      </w:hyperlink>
      <w:r w:rsidRPr="00F644EC">
        <w:rPr>
          <w:rFonts w:ascii="NotoSerif" w:eastAsia="Times New Roman" w:hAnsi="NotoSerif" w:cs="Arial"/>
          <w:color w:val="333333"/>
          <w:sz w:val="26"/>
          <w:szCs w:val="26"/>
        </w:rPr>
        <w:t> ngày 16/5/2024 quy định công tác tổng hợp, phân tích, dự báo giá thị trường và kinh phí bảo đảm cho công tác tổng hợp, phân tích, dự báo giá thị trường.</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Thông tư nêu rõ, kinh phí bảo đảm thực hiện công tác tổng hợp, phân tích, dự báo giá thị trường của cơ quan, tổ chức, cá nhân </w:t>
      </w:r>
      <w:proofErr w:type="gramStart"/>
      <w:r w:rsidRPr="00F644EC">
        <w:rPr>
          <w:rFonts w:ascii="NotoSerif" w:eastAsia="Times New Roman" w:hAnsi="NotoSerif" w:cs="Arial"/>
          <w:color w:val="333333"/>
          <w:sz w:val="26"/>
          <w:szCs w:val="26"/>
        </w:rPr>
        <w:t>theo</w:t>
      </w:r>
      <w:proofErr w:type="gramEnd"/>
      <w:r w:rsidRPr="00F644EC">
        <w:rPr>
          <w:rFonts w:ascii="NotoSerif" w:eastAsia="Times New Roman" w:hAnsi="NotoSerif" w:cs="Arial"/>
          <w:color w:val="333333"/>
          <w:sz w:val="26"/>
          <w:szCs w:val="26"/>
        </w:rPr>
        <w:t xml:space="preserve"> quy định được bố trí trong dự toán ngân sách hàng năm theo phân cấp ngân sách hiện hành.</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Thông tư này có hiệu lực thi hành từ ngày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 xml:space="preserve">Quy định mới về quản lý tuyến vận tải hành khách bằng </w:t>
      </w:r>
      <w:proofErr w:type="gramStart"/>
      <w:r w:rsidRPr="00F644EC">
        <w:rPr>
          <w:rFonts w:ascii="NotoSerif" w:eastAsia="Times New Roman" w:hAnsi="NotoSerif" w:cs="Arial"/>
          <w:color w:val="333333"/>
          <w:sz w:val="36"/>
          <w:szCs w:val="36"/>
        </w:rPr>
        <w:t>xe</w:t>
      </w:r>
      <w:proofErr w:type="gramEnd"/>
      <w:r w:rsidRPr="00F644EC">
        <w:rPr>
          <w:rFonts w:ascii="NotoSerif" w:eastAsia="Times New Roman" w:hAnsi="NotoSerif" w:cs="Arial"/>
          <w:color w:val="333333"/>
          <w:sz w:val="36"/>
          <w:szCs w:val="36"/>
        </w:rPr>
        <w:t xml:space="preserve"> ô tô</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Bộ Giao thông vận tải ban hành Thông tư </w:t>
      </w:r>
      <w:hyperlink r:id="rId17" w:tgtFrame="_blank" w:tooltip="18/2024/TT-BGTVT" w:history="1">
        <w:r w:rsidRPr="00F644EC">
          <w:rPr>
            <w:rFonts w:ascii="NotoSerif" w:eastAsia="Times New Roman" w:hAnsi="NotoSerif" w:cs="Arial"/>
            <w:color w:val="0000FF"/>
            <w:sz w:val="26"/>
            <w:szCs w:val="26"/>
            <w:u w:val="single"/>
          </w:rPr>
          <w:t>18/2024/TT-BGTVT</w:t>
        </w:r>
      </w:hyperlink>
      <w:r w:rsidRPr="00F644EC">
        <w:rPr>
          <w:rFonts w:ascii="NotoSerif" w:eastAsia="Times New Roman" w:hAnsi="NotoSerif" w:cs="Arial"/>
          <w:color w:val="333333"/>
          <w:sz w:val="26"/>
          <w:szCs w:val="26"/>
        </w:rPr>
        <w:t> ngày 31/5/2024 sửa đổi, bổ sung một số điều của Thông tư số 12/2020/TT-BGTVT ngày 29/5/2020 của Bộ trưởng Bộ Giao thông vận tải quy định về tổ chức, quản lý hoạt động vận tải bằng xe ô tô và dịch vụ hỗ trợ vận tải đường bộ.</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Thông tư 18/2024/TT-BGTVT quy định, Sở Giao thông vận tải (đối với tuyến nội tỉnh), Sở Giao thông vận tải hai đầu tuyến (đối với tuyến liên tỉnh) công bố công khai trên Trang thông tin điện tử của Sở các thông tin chi tiết của từng tuyến gồm: bến xe nơi đi, bến xe nơi đến, hành trình; tổng số chuyến xe và giờ xuất bến của từng chuyến xe đã có đơn vị tham gia khai thác và thời gian giãn cách tối thiểu giữa các chuyến xe liền kề; công suất bến xe hai đầu tuyến.</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Thông tư 18/2024/TT-BGTVT có hiệu lực từ ngày 15/7/2024.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Hướng dẫn thanh toán, chuyển tiền song phương giữa Việt Nam - Lào</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lastRenderedPageBreak/>
        <w:t>Ngân hàng Nhà nước Việt Nam ban hành Thông tư 0</w:t>
      </w:r>
      <w:hyperlink r:id="rId18" w:tgtFrame="_blank" w:tooltip="4/2024/TT-NHNN" w:history="1">
        <w:r w:rsidRPr="00F644EC">
          <w:rPr>
            <w:rFonts w:ascii="NotoSerif" w:eastAsia="Times New Roman" w:hAnsi="NotoSerif" w:cs="Arial"/>
            <w:color w:val="0000FF"/>
            <w:sz w:val="26"/>
            <w:szCs w:val="26"/>
            <w:u w:val="single"/>
          </w:rPr>
          <w:t>4/2024/TT-NHNN</w:t>
        </w:r>
      </w:hyperlink>
      <w:r w:rsidRPr="00F644EC">
        <w:rPr>
          <w:rFonts w:ascii="NotoSerif" w:eastAsia="Times New Roman" w:hAnsi="NotoSerif" w:cs="Arial"/>
          <w:color w:val="333333"/>
          <w:sz w:val="26"/>
          <w:szCs w:val="26"/>
        </w:rPr>
        <w:t> ngày 31/5/2024 hướng dẫn hoạt động thanh toán, chuyển tiền song phương giữa Việt Nam - Lào.</w:t>
      </w:r>
      <w:proofErr w:type="gramEnd"/>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Thông tư này quy định các nội dung liên quan đến quản lý ngoại hối đối với các hoạt động thanh toán, chuyển tiền trong hoạt động mua bán hàng hóa và cung ứng dịch vụ giữa hai nước Việt Nam - Lào; các hoạt động ngoại hối khác phục vụ hoạt động thanh toán, chuyển tiền song phương Việt Nam - Lào.</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Thông tư có hiệu lực thi hành từ 15/7/2024.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Quy định về mẫu thẻ căn cước, giấy chứng nhận căn cước mới từ ngày 1/7</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Ngày 15/5/2024, Bộ trưởng Bộ Công </w:t>
      </w:r>
      <w:proofErr w:type="gramStart"/>
      <w:r w:rsidRPr="00F644EC">
        <w:rPr>
          <w:rFonts w:ascii="NotoSerif" w:eastAsia="Times New Roman" w:hAnsi="NotoSerif" w:cs="Arial"/>
          <w:color w:val="333333"/>
          <w:sz w:val="26"/>
          <w:szCs w:val="26"/>
        </w:rPr>
        <w:t>an</w:t>
      </w:r>
      <w:proofErr w:type="gramEnd"/>
      <w:r w:rsidRPr="00F644EC">
        <w:rPr>
          <w:rFonts w:ascii="NotoSerif" w:eastAsia="Times New Roman" w:hAnsi="NotoSerif" w:cs="Arial"/>
          <w:color w:val="333333"/>
          <w:sz w:val="26"/>
          <w:szCs w:val="26"/>
        </w:rPr>
        <w:t xml:space="preserve"> ban hành Thông tư 16/2024/TT-BCA quy định về mẫu thẻ căn cước, mẫu giấy chứng nhận căn cước.</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Thông tư 16/2024/TT-BCA quy định về quy cách, ngôn ngữ khác, hình dáng, kích thước, chất liệu của thẻ căn cước; quy cách, hình dáng, kích thước, chất liệu của giấy chứng nhận căn cước; mã hóa thông tin trong bộ phận lưu trữ trên thẻ căn cước; trách nhiệm của Công an các đơn vị, địa phương trong việc sản xuất, cấp và quản lý thẻ căn cước, giấy chứng nhận căn cước.</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proofErr w:type="gramStart"/>
      <w:r w:rsidRPr="00F644EC">
        <w:rPr>
          <w:rFonts w:ascii="NotoSerif" w:eastAsia="Times New Roman" w:hAnsi="NotoSerif" w:cs="Arial"/>
          <w:color w:val="333333"/>
          <w:sz w:val="26"/>
          <w:szCs w:val="26"/>
        </w:rPr>
        <w:t>Thông tư này có hiệu lực thi hành kể từ ngày 1/7/2024.</w:t>
      </w:r>
      <w:proofErr w:type="gramEnd"/>
    </w:p>
    <w:p w:rsidR="00F644EC" w:rsidRPr="00F644EC" w:rsidRDefault="00F644EC" w:rsidP="00F644EC">
      <w:pPr>
        <w:shd w:val="clear" w:color="auto" w:fill="FFFFFF"/>
        <w:outlineLvl w:val="2"/>
        <w:rPr>
          <w:rFonts w:ascii="NotoSerif" w:eastAsia="Times New Roman" w:hAnsi="NotoSerif" w:cs="Arial"/>
          <w:color w:val="333333"/>
          <w:sz w:val="36"/>
          <w:szCs w:val="36"/>
        </w:rPr>
      </w:pPr>
      <w:r w:rsidRPr="00F644EC">
        <w:rPr>
          <w:rFonts w:ascii="NotoSerif" w:eastAsia="Times New Roman" w:hAnsi="NotoSerif" w:cs="Arial"/>
          <w:color w:val="333333"/>
          <w:sz w:val="36"/>
          <w:szCs w:val="36"/>
        </w:rPr>
        <w:t>Quy định về Hồ sơ xét tuyển Tổ viên tổ bảo vệ an ninh, trật tự </w:t>
      </w:r>
    </w:p>
    <w:p w:rsidR="00F644EC" w:rsidRPr="00F644EC" w:rsidRDefault="00F644EC" w:rsidP="00F644EC">
      <w:pPr>
        <w:shd w:val="clear" w:color="auto" w:fill="FFFFFF"/>
        <w:spacing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Thông tư </w:t>
      </w:r>
      <w:hyperlink r:id="rId19" w:tgtFrame="_blank" w:tooltip="14/2024/TT-BCA" w:history="1">
        <w:r w:rsidRPr="00F644EC">
          <w:rPr>
            <w:rFonts w:ascii="NotoSerif" w:eastAsia="Times New Roman" w:hAnsi="NotoSerif" w:cs="Arial"/>
            <w:color w:val="0000FF"/>
            <w:sz w:val="26"/>
            <w:szCs w:val="26"/>
            <w:u w:val="single"/>
          </w:rPr>
          <w:t>14/2024/TT-BCA</w:t>
        </w:r>
      </w:hyperlink>
      <w:r w:rsidRPr="00F644EC">
        <w:rPr>
          <w:rFonts w:ascii="NotoSerif" w:eastAsia="Times New Roman" w:hAnsi="NotoSerif" w:cs="Arial"/>
          <w:color w:val="333333"/>
          <w:sz w:val="26"/>
          <w:szCs w:val="26"/>
        </w:rPr>
        <w:t> ngày 22/4/2024 của Bộ Công an quy định chi tiết một số điều của Luật Lực lượng tham gia bảo vệ an ninh, trật tự ở cơ sở có hiệu lực từ ngày 1/7/2024.</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 xml:space="preserve">Thông tư nêu rõ, để tham gia Tổ viên tổ bảo vệ </w:t>
      </w:r>
      <w:proofErr w:type="gramStart"/>
      <w:r w:rsidRPr="00F644EC">
        <w:rPr>
          <w:rFonts w:ascii="NotoSerif" w:eastAsia="Times New Roman" w:hAnsi="NotoSerif" w:cs="Arial"/>
          <w:color w:val="333333"/>
          <w:sz w:val="26"/>
          <w:szCs w:val="26"/>
        </w:rPr>
        <w:t>an</w:t>
      </w:r>
      <w:proofErr w:type="gramEnd"/>
      <w:r w:rsidRPr="00F644EC">
        <w:rPr>
          <w:rFonts w:ascii="NotoSerif" w:eastAsia="Times New Roman" w:hAnsi="NotoSerif" w:cs="Arial"/>
          <w:color w:val="333333"/>
          <w:sz w:val="26"/>
          <w:szCs w:val="26"/>
        </w:rPr>
        <w:t xml:space="preserve"> ninh, trật tự hay trật tự thôn thì cần phải tham gia xét tuyển.</w:t>
      </w:r>
    </w:p>
    <w:p w:rsidR="00F644EC" w:rsidRPr="00F644EC" w:rsidRDefault="00F644EC" w:rsidP="00F644EC">
      <w:pPr>
        <w:shd w:val="clear" w:color="auto" w:fill="FFFFFF"/>
        <w:spacing w:before="233" w:after="233" w:line="450" w:lineRule="atLeast"/>
        <w:jc w:val="both"/>
        <w:rPr>
          <w:rFonts w:ascii="NotoSerif" w:eastAsia="Times New Roman" w:hAnsi="NotoSerif" w:cs="Arial"/>
          <w:color w:val="333333"/>
          <w:sz w:val="26"/>
          <w:szCs w:val="26"/>
        </w:rPr>
      </w:pPr>
      <w:r w:rsidRPr="00F644EC">
        <w:rPr>
          <w:rFonts w:ascii="NotoSerif" w:eastAsia="Times New Roman" w:hAnsi="NotoSerif" w:cs="Arial"/>
          <w:color w:val="333333"/>
          <w:sz w:val="26"/>
          <w:szCs w:val="26"/>
        </w:rPr>
        <w:t>Hồ sơ xét tuyển gồm: Đơn đề nghị; bản khai sơ yếu lý lịch, chứng nhận đủ sức khỏe, bằng tốt nghiệp/đã hoàn thành chương trình giáo dục trung học cơ sở trở lên/đã học xong chương trình giáo dục tiểu học.</w:t>
      </w:r>
    </w:p>
    <w:p w:rsidR="00F644EC" w:rsidRPr="00F644EC" w:rsidRDefault="00F644EC" w:rsidP="00F644EC">
      <w:pPr>
        <w:shd w:val="clear" w:color="auto" w:fill="FFFFFF"/>
        <w:spacing w:before="90"/>
        <w:jc w:val="right"/>
        <w:outlineLvl w:val="3"/>
        <w:rPr>
          <w:rFonts w:ascii="inherit" w:eastAsia="Times New Roman" w:hAnsi="inherit" w:cs="Arial"/>
          <w:b/>
          <w:bCs/>
          <w:color w:val="333333"/>
          <w:sz w:val="21"/>
          <w:szCs w:val="21"/>
        </w:rPr>
      </w:pPr>
      <w:r w:rsidRPr="00F644EC">
        <w:rPr>
          <w:rFonts w:ascii="inherit" w:eastAsia="Times New Roman" w:hAnsi="inherit" w:cs="Arial"/>
          <w:b/>
          <w:bCs/>
          <w:color w:val="333333"/>
          <w:sz w:val="21"/>
          <w:szCs w:val="21"/>
        </w:rPr>
        <w:lastRenderedPageBreak/>
        <w:t xml:space="preserve">Phương </w:t>
      </w:r>
      <w:proofErr w:type="gramStart"/>
      <w:r w:rsidRPr="00F644EC">
        <w:rPr>
          <w:rFonts w:ascii="inherit" w:eastAsia="Times New Roman" w:hAnsi="inherit" w:cs="Arial"/>
          <w:b/>
          <w:bCs/>
          <w:color w:val="333333"/>
          <w:sz w:val="21"/>
          <w:szCs w:val="21"/>
        </w:rPr>
        <w:t>Nhi</w:t>
      </w:r>
      <w:proofErr w:type="gramEnd"/>
    </w:p>
    <w:p w:rsidR="00F644EC" w:rsidRPr="00F644EC" w:rsidRDefault="00F644EC" w:rsidP="00F644EC">
      <w:pPr>
        <w:shd w:val="clear" w:color="auto" w:fill="FFFFFF"/>
        <w:spacing w:before="90"/>
        <w:jc w:val="right"/>
        <w:outlineLvl w:val="3"/>
        <w:rPr>
          <w:rFonts w:ascii="inherit" w:eastAsia="Times New Roman" w:hAnsi="inherit" w:cs="Arial"/>
          <w:b/>
          <w:bCs/>
          <w:color w:val="333333"/>
          <w:sz w:val="21"/>
          <w:szCs w:val="21"/>
        </w:rPr>
      </w:pPr>
      <w:r w:rsidRPr="00F644EC">
        <w:rPr>
          <w:rFonts w:ascii="inherit" w:eastAsia="Times New Roman" w:hAnsi="inherit" w:cs="Arial"/>
          <w:b/>
          <w:bCs/>
          <w:color w:val="333333"/>
          <w:sz w:val="21"/>
          <w:szCs w:val="21"/>
        </w:rPr>
        <w:t>https://baochinhphu.vn/chinh-sach-moi-co-hieu-luc-tu-thang-7-2024-10224062818091933.htm</w:t>
      </w:r>
    </w:p>
    <w:p w:rsidR="0032006E" w:rsidRDefault="0032006E"/>
    <w:sectPr w:rsidR="0032006E"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otoSerif">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4EC"/>
    <w:rsid w:val="0032006E"/>
    <w:rsid w:val="00747037"/>
    <w:rsid w:val="00F644EC"/>
    <w:rsid w:val="00F65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644E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F644E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4EC"/>
    <w:rPr>
      <w:rFonts w:eastAsia="Times New Roman" w:cs="Times New Roman"/>
      <w:b/>
      <w:bCs/>
      <w:sz w:val="27"/>
      <w:szCs w:val="27"/>
    </w:rPr>
  </w:style>
  <w:style w:type="character" w:customStyle="1" w:styleId="Heading4Char">
    <w:name w:val="Heading 4 Char"/>
    <w:basedOn w:val="DefaultParagraphFont"/>
    <w:link w:val="Heading4"/>
    <w:uiPriority w:val="9"/>
    <w:rsid w:val="00F644EC"/>
    <w:rPr>
      <w:rFonts w:eastAsia="Times New Roman" w:cs="Times New Roman"/>
      <w:b/>
      <w:bCs/>
      <w:sz w:val="24"/>
      <w:szCs w:val="24"/>
    </w:rPr>
  </w:style>
  <w:style w:type="character" w:styleId="Hyperlink">
    <w:name w:val="Hyperlink"/>
    <w:basedOn w:val="DefaultParagraphFont"/>
    <w:uiPriority w:val="99"/>
    <w:semiHidden/>
    <w:unhideWhenUsed/>
    <w:rsid w:val="00F644EC"/>
    <w:rPr>
      <w:color w:val="0000FF"/>
      <w:u w:val="single"/>
    </w:rPr>
  </w:style>
  <w:style w:type="paragraph" w:customStyle="1" w:styleId="lead">
    <w:name w:val="lead"/>
    <w:basedOn w:val="Normal"/>
    <w:rsid w:val="00F644E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F644EC"/>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644EC"/>
    <w:pPr>
      <w:spacing w:before="100" w:beforeAutospacing="1" w:after="100" w:afterAutospacing="1"/>
      <w:outlineLvl w:val="2"/>
    </w:pPr>
    <w:rPr>
      <w:rFonts w:eastAsia="Times New Roman" w:cs="Times New Roman"/>
      <w:b/>
      <w:bCs/>
      <w:sz w:val="27"/>
      <w:szCs w:val="27"/>
    </w:rPr>
  </w:style>
  <w:style w:type="paragraph" w:styleId="Heading4">
    <w:name w:val="heading 4"/>
    <w:basedOn w:val="Normal"/>
    <w:link w:val="Heading4Char"/>
    <w:uiPriority w:val="9"/>
    <w:qFormat/>
    <w:rsid w:val="00F644EC"/>
    <w:pPr>
      <w:spacing w:before="100" w:beforeAutospacing="1" w:after="100" w:afterAutospacing="1"/>
      <w:outlineLvl w:val="3"/>
    </w:pPr>
    <w:rPr>
      <w:rFonts w:eastAsia="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644EC"/>
    <w:rPr>
      <w:rFonts w:eastAsia="Times New Roman" w:cs="Times New Roman"/>
      <w:b/>
      <w:bCs/>
      <w:sz w:val="27"/>
      <w:szCs w:val="27"/>
    </w:rPr>
  </w:style>
  <w:style w:type="character" w:customStyle="1" w:styleId="Heading4Char">
    <w:name w:val="Heading 4 Char"/>
    <w:basedOn w:val="DefaultParagraphFont"/>
    <w:link w:val="Heading4"/>
    <w:uiPriority w:val="9"/>
    <w:rsid w:val="00F644EC"/>
    <w:rPr>
      <w:rFonts w:eastAsia="Times New Roman" w:cs="Times New Roman"/>
      <w:b/>
      <w:bCs/>
      <w:sz w:val="24"/>
      <w:szCs w:val="24"/>
    </w:rPr>
  </w:style>
  <w:style w:type="character" w:styleId="Hyperlink">
    <w:name w:val="Hyperlink"/>
    <w:basedOn w:val="DefaultParagraphFont"/>
    <w:uiPriority w:val="99"/>
    <w:semiHidden/>
    <w:unhideWhenUsed/>
    <w:rsid w:val="00F644EC"/>
    <w:rPr>
      <w:color w:val="0000FF"/>
      <w:u w:val="single"/>
    </w:rPr>
  </w:style>
  <w:style w:type="paragraph" w:customStyle="1" w:styleId="lead">
    <w:name w:val="lead"/>
    <w:basedOn w:val="Normal"/>
    <w:rsid w:val="00F644EC"/>
    <w:pPr>
      <w:spacing w:before="100" w:beforeAutospacing="1" w:after="100" w:afterAutospacing="1"/>
    </w:pPr>
    <w:rPr>
      <w:rFonts w:eastAsia="Times New Roman" w:cs="Times New Roman"/>
      <w:sz w:val="24"/>
      <w:szCs w:val="24"/>
    </w:rPr>
  </w:style>
  <w:style w:type="paragraph" w:styleId="NormalWeb">
    <w:name w:val="Normal (Web)"/>
    <w:basedOn w:val="Normal"/>
    <w:uiPriority w:val="99"/>
    <w:semiHidden/>
    <w:unhideWhenUsed/>
    <w:rsid w:val="00F644EC"/>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365430">
      <w:bodyDiv w:val="1"/>
      <w:marLeft w:val="0"/>
      <w:marRight w:val="0"/>
      <w:marTop w:val="0"/>
      <w:marBottom w:val="0"/>
      <w:divBdr>
        <w:top w:val="none" w:sz="0" w:space="0" w:color="auto"/>
        <w:left w:val="none" w:sz="0" w:space="0" w:color="auto"/>
        <w:bottom w:val="none" w:sz="0" w:space="0" w:color="auto"/>
        <w:right w:val="none" w:sz="0" w:space="0" w:color="auto"/>
      </w:divBdr>
      <w:divsChild>
        <w:div w:id="2083287501">
          <w:marLeft w:val="0"/>
          <w:marRight w:val="0"/>
          <w:marTop w:val="0"/>
          <w:marBottom w:val="0"/>
          <w:divBdr>
            <w:top w:val="none" w:sz="0" w:space="0" w:color="auto"/>
            <w:left w:val="none" w:sz="0" w:space="0" w:color="auto"/>
            <w:bottom w:val="none" w:sz="0" w:space="0" w:color="auto"/>
            <w:right w:val="none" w:sz="0" w:space="0" w:color="auto"/>
          </w:divBdr>
          <w:divsChild>
            <w:div w:id="1583031018">
              <w:marLeft w:val="0"/>
              <w:marRight w:val="0"/>
              <w:marTop w:val="150"/>
              <w:marBottom w:val="300"/>
              <w:divBdr>
                <w:top w:val="none" w:sz="0" w:space="0" w:color="auto"/>
                <w:left w:val="none" w:sz="0" w:space="0" w:color="auto"/>
                <w:bottom w:val="single" w:sz="6" w:space="7" w:color="EEEEEE"/>
                <w:right w:val="none" w:sz="0" w:space="0" w:color="auto"/>
              </w:divBdr>
              <w:divsChild>
                <w:div w:id="37168460">
                  <w:marLeft w:val="0"/>
                  <w:marRight w:val="0"/>
                  <w:marTop w:val="0"/>
                  <w:marBottom w:val="0"/>
                  <w:divBdr>
                    <w:top w:val="none" w:sz="0" w:space="0" w:color="auto"/>
                    <w:left w:val="none" w:sz="0" w:space="0" w:color="auto"/>
                    <w:bottom w:val="none" w:sz="0" w:space="0" w:color="auto"/>
                    <w:right w:val="none" w:sz="0" w:space="0" w:color="auto"/>
                  </w:divBdr>
                  <w:divsChild>
                    <w:div w:id="177382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17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nban.chinhphu.vn/?pageid=27160&amp;docid=210244" TargetMode="External"/><Relationship Id="rId13" Type="http://schemas.openxmlformats.org/officeDocument/2006/relationships/hyperlink" Target="https://vanban.chinhphu.vn/?pageid=27160&amp;docid=210357" TargetMode="External"/><Relationship Id="rId18" Type="http://schemas.openxmlformats.org/officeDocument/2006/relationships/hyperlink" Target="https://vanban.chinhphu.vn/?pageid=27160&amp;docid=210368"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anban.chinhphu.vn/?pageid=27160&amp;docid=210214" TargetMode="External"/><Relationship Id="rId12" Type="http://schemas.openxmlformats.org/officeDocument/2006/relationships/hyperlink" Target="https://vanban.chinhphu.vn/?pageid=27160&amp;docid=210315" TargetMode="External"/><Relationship Id="rId17" Type="http://schemas.openxmlformats.org/officeDocument/2006/relationships/hyperlink" Target="https://vanban.chinhphu.vn/?pageid=27160&amp;docid=210351" TargetMode="External"/><Relationship Id="rId2" Type="http://schemas.microsoft.com/office/2007/relationships/stylesWithEffects" Target="stylesWithEffects.xml"/><Relationship Id="rId16" Type="http://schemas.openxmlformats.org/officeDocument/2006/relationships/hyperlink" Target="https://vanban.chinhphu.vn/?pageid=27160&amp;docid=210414"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vanban.chinhphu.vn/?pageid=27160&amp;docid=210183" TargetMode="External"/><Relationship Id="rId11" Type="http://schemas.openxmlformats.org/officeDocument/2006/relationships/hyperlink" Target="https://vanban.chinhphu.vn/?pageid=27160&amp;docid=210263" TargetMode="External"/><Relationship Id="rId24" Type="http://schemas.openxmlformats.org/officeDocument/2006/relationships/customXml" Target="../customXml/item3.xml"/><Relationship Id="rId5" Type="http://schemas.openxmlformats.org/officeDocument/2006/relationships/hyperlink" Target="https://vanban.chinhphu.vn/?pageid=27160&amp;docid=210095" TargetMode="External"/><Relationship Id="rId15" Type="http://schemas.openxmlformats.org/officeDocument/2006/relationships/hyperlink" Target="https://vanban.chinhphu.vn/?pageid=27160&amp;docid=210497" TargetMode="External"/><Relationship Id="rId23" Type="http://schemas.openxmlformats.org/officeDocument/2006/relationships/customXml" Target="../customXml/item2.xml"/><Relationship Id="rId10" Type="http://schemas.openxmlformats.org/officeDocument/2006/relationships/hyperlink" Target="https://vanban.chinhphu.vn/?pageid=27160&amp;docid=210258" TargetMode="External"/><Relationship Id="rId19" Type="http://schemas.openxmlformats.org/officeDocument/2006/relationships/hyperlink" Target="https://vanban.chinhphu.vn/?pageid=27160&amp;docid=210140" TargetMode="External"/><Relationship Id="rId4" Type="http://schemas.openxmlformats.org/officeDocument/2006/relationships/webSettings" Target="webSettings.xml"/><Relationship Id="rId9" Type="http://schemas.openxmlformats.org/officeDocument/2006/relationships/hyperlink" Target="https://vanban.chinhphu.vn/?pageid=27160&amp;docid=210254" TargetMode="External"/><Relationship Id="rId14" Type="http://schemas.openxmlformats.org/officeDocument/2006/relationships/hyperlink" Target="https://vanban.chinhphu.vn/?pageid=27160&amp;docid=210491" TargetMode="External"/><Relationship Id="rId22"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9332806-2301-420D-B229-F6CB542D07D7}"/>
</file>

<file path=customXml/itemProps2.xml><?xml version="1.0" encoding="utf-8"?>
<ds:datastoreItem xmlns:ds="http://schemas.openxmlformats.org/officeDocument/2006/customXml" ds:itemID="{EDC61483-60E0-44A1-91B9-86120CC0E11D}"/>
</file>

<file path=customXml/itemProps3.xml><?xml version="1.0" encoding="utf-8"?>
<ds:datastoreItem xmlns:ds="http://schemas.openxmlformats.org/officeDocument/2006/customXml" ds:itemID="{21652A76-989E-441C-A45F-301027AD5E34}"/>
</file>

<file path=docProps/app.xml><?xml version="1.0" encoding="utf-8"?>
<Properties xmlns="http://schemas.openxmlformats.org/officeDocument/2006/extended-properties" xmlns:vt="http://schemas.openxmlformats.org/officeDocument/2006/docPropsVTypes">
  <Template>Normal</Template>
  <TotalTime>4</TotalTime>
  <Pages>10</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2024-07-02T00:59:00Z</dcterms:created>
  <dcterms:modified xsi:type="dcterms:W3CDTF">2024-07-02T01:03:00Z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102900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